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80"/>
      </w:pPr>
      <w:r>
        <w:t xml:space="preserve">February 2026 sales review</w:t>
      </w:r>
    </w:p>
    <w:p>
      <w:pPr>
        <w:spacing w:after="180"/>
      </w:pPr>
      <w:r>
        <w:t xml:space="preserve">Harbor Desk | Operations lead | Synthetic practice data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240"/>
        <w:gridCol w:w="3240"/>
      </w:tblGrid>
      <w:tr>
        <w:trPr>
          <w:tblHeader/>
        </w:trPr>
        <w:tc>
          <w:tcPr>
            <w:tcW w:type="dxa" w:w="3600"/>
            <w:shd w:fill="173D46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b/>
                <w:bCs/>
                <w:color w:val="FFFFFF"/>
              </w:rPr>
              <w:t xml:space="preserve">Measure</w:t>
            </w:r>
          </w:p>
        </w:tc>
        <w:tc>
          <w:tcPr>
            <w:tcW w:type="dxa" w:w="3240"/>
            <w:shd w:fill="173D46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b/>
                <w:bCs/>
                <w:color w:val="FFFFFF"/>
              </w:rPr>
              <w:t xml:space="preserve">January 2026</w:t>
            </w:r>
          </w:p>
        </w:tc>
        <w:tc>
          <w:tcPr>
            <w:tcW w:type="dxa" w:w="3240"/>
            <w:shd w:fill="173D46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b/>
                <w:bCs/>
                <w:color w:val="FFFFFF"/>
              </w:rPr>
              <w:t xml:space="preserve">February 2026</w:t>
            </w:r>
          </w:p>
        </w:tc>
      </w:tr>
      <w:tr>
        <w:trPr>
          <w:tblHeader w:val="off"/>
        </w:trPr>
        <w:tc>
          <w:tcPr>
            <w:tcW w:type="dxa" w:w="3600"/>
            <w:shd w:fill="F2F6F6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b w:val="false"/>
                <w:bCs w:val="false"/>
                <w:color w:val="172C33"/>
              </w:rPr>
              <w:t xml:space="preserve">Revenue (USD)</w:t>
            </w:r>
          </w:p>
        </w:tc>
        <w:tc>
          <w:tcPr>
            <w:tcW w:type="dxa" w:w="3240"/>
            <w:shd w:fill="F2F6F6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b w:val="false"/>
                <w:bCs w:val="false"/>
                <w:color w:val="172C33"/>
              </w:rPr>
              <w:t xml:space="preserve">$12,000</w:t>
            </w:r>
          </w:p>
        </w:tc>
        <w:tc>
          <w:tcPr>
            <w:tcW w:type="dxa" w:w="3240"/>
            <w:shd w:fill="F2F6F6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b w:val="false"/>
                <w:bCs w:val="false"/>
                <w:color w:val="172C33"/>
              </w:rPr>
              <w:t xml:space="preserve">$15,000</w:t>
            </w:r>
          </w:p>
        </w:tc>
      </w:tr>
      <w:tr>
        <w:trPr>
          <w:tblHeader w:val="off"/>
        </w:trPr>
        <w:tc>
          <w:tcPr>
            <w:tcW w:type="dxa" w:w="3600"/>
            <w:shd w:fill="FFFFFF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b w:val="false"/>
                <w:bCs w:val="false"/>
                <w:color w:val="172C33"/>
              </w:rPr>
              <w:t xml:space="preserve">Cost (USD)</w:t>
            </w:r>
          </w:p>
        </w:tc>
        <w:tc>
          <w:tcPr>
            <w:tcW w:type="dxa" w:w="3240"/>
            <w:shd w:fill="FFFFFF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b w:val="false"/>
                <w:bCs w:val="false"/>
                <w:color w:val="172C33"/>
              </w:rPr>
              <w:t xml:space="preserve">$6,000</w:t>
            </w:r>
          </w:p>
        </w:tc>
        <w:tc>
          <w:tcPr>
            <w:tcW w:type="dxa" w:w="3240"/>
            <w:shd w:fill="FFFFFF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b w:val="false"/>
                <w:bCs w:val="false"/>
                <w:color w:val="172C33"/>
              </w:rPr>
              <w:t xml:space="preserve">$7,800</w:t>
            </w:r>
          </w:p>
        </w:tc>
      </w:tr>
      <w:tr>
        <w:trPr>
          <w:tblHeader w:val="off"/>
        </w:trPr>
        <w:tc>
          <w:tcPr>
            <w:tcW w:type="dxa" w:w="3600"/>
            <w:shd w:fill="F2F6F6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b w:val="false"/>
                <w:bCs w:val="false"/>
                <w:color w:val="172C33"/>
              </w:rPr>
              <w:t xml:space="preserve">Gross profit (USD)</w:t>
            </w:r>
          </w:p>
        </w:tc>
        <w:tc>
          <w:tcPr>
            <w:tcW w:type="dxa" w:w="3240"/>
            <w:shd w:fill="F2F6F6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b w:val="false"/>
                <w:bCs w:val="false"/>
                <w:color w:val="172C33"/>
              </w:rPr>
              <w:t xml:space="preserve">$6,000</w:t>
            </w:r>
          </w:p>
        </w:tc>
        <w:tc>
          <w:tcPr>
            <w:tcW w:type="dxa" w:w="3240"/>
            <w:shd w:fill="F2F6F6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b w:val="false"/>
                <w:bCs w:val="false"/>
                <w:color w:val="172C33"/>
              </w:rPr>
              <w:t xml:space="preserve">$7,200</w:t>
            </w:r>
          </w:p>
        </w:tc>
      </w:tr>
      <w:tr>
        <w:trPr>
          <w:tblHeader w:val="off"/>
        </w:trPr>
        <w:tc>
          <w:tcPr>
            <w:tcW w:type="dxa" w:w="3600"/>
            <w:shd w:fill="FFFFFF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b w:val="false"/>
                <w:bCs w:val="false"/>
                <w:color w:val="172C33"/>
              </w:rPr>
              <w:t xml:space="preserve">Gross margin</w:t>
            </w:r>
          </w:p>
        </w:tc>
        <w:tc>
          <w:tcPr>
            <w:tcW w:type="dxa" w:w="3240"/>
            <w:shd w:fill="FFFFFF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b w:val="false"/>
                <w:bCs w:val="false"/>
                <w:color w:val="172C33"/>
              </w:rPr>
              <w:t xml:space="preserve">50%</w:t>
            </w:r>
          </w:p>
        </w:tc>
        <w:tc>
          <w:tcPr>
            <w:tcW w:type="dxa" w:w="3240"/>
            <w:shd w:fill="FFFFFF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b w:val="false"/>
                <w:bCs w:val="false"/>
                <w:color w:val="172C33"/>
              </w:rPr>
              <w:t xml:space="preserve">48%</w:t>
            </w:r>
          </w:p>
        </w:tc>
      </w:tr>
    </w:tbl>
    <w:p>
      <w:pPr>
        <w:pStyle w:val="Heading1"/>
        <w:spacing w:after="120" w:before="260"/>
      </w:pPr>
      <w:r>
        <w:t xml:space="preserve">What changed</w:t>
      </w:r>
    </w:p>
    <w:p>
      <w:pPr>
        <w:spacing w:after="180"/>
      </w:pPr>
      <w:r>
        <w:t xml:space="preserve">Revenue increased 25%, from $12,000 to $15,000.</w:t>
      </w:r>
    </w:p>
    <w:p>
      <w:pPr>
        <w:spacing w:after="180"/>
      </w:pPr>
      <w:r>
        <w:t xml:space="preserve">Gross profit increased 20%, from $6,000 to $7,200.</w:t>
      </w:r>
    </w:p>
    <w:p>
      <w:pPr>
        <w:spacing w:after="180"/>
      </w:pPr>
      <w:r>
        <w:t xml:space="preserve">Gross margin fell by 2 percentage points, from 50% to 48%. Revenue growth did not translate into a higher margin.</w:t>
      </w:r>
    </w:p>
    <w:p>
      <w:pPr>
        <w:pStyle w:val="Heading1"/>
        <w:spacing w:after="120" w:before="180"/>
      </w:pPr>
      <w:r>
        <w:t xml:space="preserve">Proposed follow-up</w:t>
      </w:r>
    </w:p>
    <w:p>
      <w:pPr>
        <w:spacing w:after="180"/>
      </w:pPr>
      <w:r>
        <w:t xml:space="preserve">Review the product-level cost changes with the operations team before choosing an action. The supplied figures do not establish why costs changed.</w:t>
      </w:r>
    </w:p>
    <w:p>
      <w:pPr>
        <w:pStyle w:val="Heading1"/>
        <w:spacing w:after="120" w:before="180"/>
      </w:pPr>
      <w:r>
        <w:t xml:space="preserve">Definitions and source</w:t>
      </w:r>
    </w:p>
    <w:p>
      <w:pPr>
        <w:spacing w:after="180"/>
      </w:pPr>
      <w:r>
        <w:t xml:space="preserve">Gross profit = revenue minus supplied cost. Gross margin = gross profit divided by revenue. Source: the six supplied rows in monthly-sales.xlsx, reconciled in sales-summary.xlsx. USD; revenue excludes tax. This exercise includes no refunds, discounts, or currency conversions.</w:t>
      </w:r>
    </w:p>
    <w:p>
      <w:pPr>
        <w:spacing w:after="0" w:before="160"/>
      </w:pPr>
      <w:r>
        <w:t xml:space="preserve">Generated during one Codex-session exercise. This fictional report is an example artifact, not a business forecast or an independently reviewed result.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72C33"/>
        <w:sz w:val="22"/>
        <w:szCs w:val="22"/>
      </w:rPr>
    </w:rPrDefault>
    <w:pPrDefault>
      <w:pPr>
        <w:spacing w:line="2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2026 sales review</dc:title>
  <dc:creator>OpxSkills Codex execution exercise</dc:creator>
  <dc:description>Original synthetic sample; generated in one recorded Codex session.</dc:description>
  <cp:lastModifiedBy>Un-named</cp:lastModifiedBy>
  <cp:revision>1</cp:revision>
  <dcterms:created xsi:type="dcterms:W3CDTF">2026-10-04T14:49:41.478Z</dcterms:created>
  <dcterms:modified xsi:type="dcterms:W3CDTF">2026-10-04T14:49:41.478Z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